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B1" w:rsidRPr="00BD1F54" w:rsidRDefault="00BC0CB1" w:rsidP="00BC0CB1">
      <w:pPr>
        <w:pStyle w:val="Titre1"/>
        <w:jc w:val="center"/>
        <w:rPr>
          <w:rFonts w:ascii="Bookman Old Style" w:hAnsi="Bookman Old Style"/>
          <w:b/>
          <w:color w:val="auto"/>
          <w:sz w:val="40"/>
          <w:szCs w:val="40"/>
          <w:lang w:val="fr-BE" w:eastAsia="fr-FR"/>
        </w:rPr>
      </w:pPr>
      <w:r w:rsidRPr="00BD1F54">
        <w:rPr>
          <w:rFonts w:ascii="Bookman Old Style" w:hAnsi="Bookman Old Style"/>
          <w:b/>
          <w:color w:val="auto"/>
          <w:sz w:val="40"/>
          <w:szCs w:val="40"/>
          <w:lang w:val="fr-BE" w:eastAsia="fr-FR"/>
        </w:rPr>
        <w:t>A</w:t>
      </w:r>
      <w:r>
        <w:rPr>
          <w:rFonts w:ascii="Bookman Old Style" w:hAnsi="Bookman Old Style"/>
          <w:b/>
          <w:color w:val="auto"/>
          <w:sz w:val="40"/>
          <w:szCs w:val="40"/>
          <w:lang w:val="fr-BE" w:eastAsia="fr-FR"/>
        </w:rPr>
        <w:t>6</w:t>
      </w:r>
      <w:r w:rsidRPr="00BD1F54">
        <w:rPr>
          <w:rFonts w:ascii="Bookman Old Style" w:hAnsi="Bookman Old Style"/>
          <w:b/>
          <w:color w:val="auto"/>
          <w:sz w:val="40"/>
          <w:szCs w:val="40"/>
          <w:lang w:val="fr-BE" w:eastAsia="fr-FR"/>
        </w:rPr>
        <w:t>. Conseil</w:t>
      </w:r>
      <w:r>
        <w:rPr>
          <w:rFonts w:ascii="Bookman Old Style" w:hAnsi="Bookman Old Style"/>
          <w:b/>
          <w:color w:val="auto"/>
          <w:sz w:val="40"/>
          <w:szCs w:val="40"/>
          <w:lang w:val="fr-BE" w:eastAsia="fr-FR"/>
        </w:rPr>
        <w:t>s de catégorie</w:t>
      </w:r>
    </w:p>
    <w:p w:rsidR="00BC0CB1" w:rsidRPr="00BD1F54" w:rsidRDefault="00BC0CB1" w:rsidP="00BC0CB1">
      <w:pPr>
        <w:rPr>
          <w:rFonts w:ascii="Bookman Old Style" w:hAnsi="Bookman Old Style"/>
          <w:b/>
          <w:lang w:val="fr-BE" w:eastAsia="fr-FR"/>
        </w:rPr>
      </w:pPr>
    </w:p>
    <w:p w:rsidR="00BC0CB1" w:rsidRPr="00AE7EEC" w:rsidRDefault="00BC0CB1" w:rsidP="00BC0CB1">
      <w:pPr>
        <w:spacing w:line="240" w:lineRule="auto"/>
        <w:rPr>
          <w:rFonts w:ascii="Bookman Old Style" w:hAnsi="Bookman Old Style"/>
          <w:b/>
          <w:sz w:val="28"/>
          <w:szCs w:val="28"/>
          <w:lang w:val="fr-BE" w:eastAsia="fr-FR"/>
        </w:rPr>
      </w:pPr>
      <w:r w:rsidRPr="00AE7EEC">
        <w:rPr>
          <w:rFonts w:ascii="Bookman Old Style" w:hAnsi="Bookman Old Style"/>
          <w:b/>
          <w:sz w:val="28"/>
          <w:szCs w:val="28"/>
          <w:lang w:val="fr-BE" w:eastAsia="fr-FR"/>
        </w:rPr>
        <w:t>Modalités de fonctionnement</w:t>
      </w:r>
    </w:p>
    <w:p w:rsidR="00BC0CB1" w:rsidRPr="00FE2720" w:rsidRDefault="00BC0CB1" w:rsidP="00BC0CB1">
      <w:pPr>
        <w:rPr>
          <w:rFonts w:ascii="Bookman Old Style" w:hAnsi="Bookman Old Style"/>
        </w:rPr>
      </w:pP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Bold"/>
          <w:b/>
          <w:bCs/>
          <w:lang w:val="fr-BE" w:eastAsia="fr-FR"/>
        </w:rPr>
        <w:t xml:space="preserve">Article 31. </w:t>
      </w:r>
      <w:r w:rsidRPr="001B3A23">
        <w:rPr>
          <w:rFonts w:ascii="Bookman Old Style" w:hAnsi="Bookman Old Style" w:cs="CenturySchoolbook"/>
          <w:lang w:val="fr-BE" w:eastAsia="fr-FR"/>
        </w:rPr>
        <w:t>- Chaque Conseil de catégorie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1° fixe son règlement d'ordre intérieur et le communique au Conseil d'administration pour approbation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2° fixe la répartition des emplois entre les services au sein du département, après approbation du Conseil d'administration.</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En outre, chaque Conseil de catégorie pour ce qui le concerne rend des avis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1° au Conseil d'administration relativement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a) à l'organisation de l'enseignement en sections, options et cours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b) à toute demande d'ouverture de nouvelles sections, options ou études de spécialisation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c) à la fixation des attributions des membres du personnel de la Haute Ecole ainsi que de l'horaire des cours et des examens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d) à la fixation de la grille horaire des cours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e) au recrutement, à la nomination et à la mise en disponibilité des membres du personnel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f) à la désignation des professeurs invités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Bold"/>
          <w:b/>
          <w:bCs/>
          <w:lang w:val="fr-BE" w:eastAsia="fr-FR"/>
        </w:rPr>
      </w:pPr>
      <w:r w:rsidRPr="001B3A23">
        <w:rPr>
          <w:rFonts w:ascii="Bookman Old Style" w:hAnsi="Bookman Old Style" w:cs="CenturySchoolbook"/>
          <w:lang w:val="fr-BE" w:eastAsia="fr-FR"/>
        </w:rPr>
        <w:t>2° au Collège de direction, relativement aux sanctions disciplinaires prononcées à charge des étudiants.</w:t>
      </w:r>
      <w:r w:rsidRPr="001B3A23">
        <w:rPr>
          <w:rFonts w:ascii="Bookman Old Style" w:hAnsi="Bookman Old Style" w:cs="CenturySchoolbook-Bold"/>
          <w:b/>
          <w:bCs/>
          <w:lang w:val="fr-BE" w:eastAsia="fr-FR"/>
        </w:rPr>
        <w:t xml:space="preserve">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Bold"/>
          <w:b/>
          <w:bCs/>
          <w:lang w:val="fr-BE" w:eastAsia="fr-FR"/>
        </w:rPr>
        <w:t xml:space="preserve">Article 32. - </w:t>
      </w:r>
      <w:r w:rsidRPr="001B3A23">
        <w:rPr>
          <w:rFonts w:ascii="Bookman Old Style" w:hAnsi="Bookman Old Style" w:cs="CenturySchoolbook"/>
          <w:lang w:val="fr-BE" w:eastAsia="fr-FR"/>
        </w:rPr>
        <w:t>Chaque Conseil de catégorie se réunit au moins quatre fois par année. Il peut se réunir en outre à l'initiative de son président ou à la demande écrite d'un tiers de ses membres au moins.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Bold"/>
          <w:b/>
          <w:bCs/>
          <w:lang w:val="fr-BE" w:eastAsia="fr-FR"/>
        </w:rPr>
        <w:t xml:space="preserve">Article 33. </w:t>
      </w:r>
      <w:r w:rsidRPr="001B3A23">
        <w:rPr>
          <w:rFonts w:ascii="Bookman Old Style" w:hAnsi="Bookman Old Style" w:cs="CenturySchoolbook"/>
          <w:lang w:val="fr-BE" w:eastAsia="fr-FR"/>
        </w:rPr>
        <w:t>- Le Conseil de catégorie ne délibère valablement que si plus de la moitié des membres sont présents. Si le Conseil de catégorie ne s'est pas trouvé en nombre, il peut, après une nouvelle convocation, délibérer, quel que soit le nombre de membres présents, sur tous les objets inscrits une seconde fois à l'ordre du jour. […]</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Bold"/>
          <w:b/>
          <w:bCs/>
          <w:lang w:val="fr-BE" w:eastAsia="fr-FR"/>
        </w:rPr>
        <w:t xml:space="preserve">Article 34. </w:t>
      </w:r>
      <w:r w:rsidRPr="001B3A23">
        <w:rPr>
          <w:rFonts w:ascii="Bookman Old Style" w:hAnsi="Bookman Old Style" w:cs="CenturySchoolbook"/>
          <w:lang w:val="fr-BE" w:eastAsia="fr-FR"/>
        </w:rPr>
        <w:t>- Tout avis ou toute décision du Conseil de catégorie fait l'objet d'un vote.</w:t>
      </w:r>
    </w:p>
    <w:p w:rsidR="00BC0CB1" w:rsidRPr="001B3A23"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
          <w:lang w:val="fr-BE" w:eastAsia="fr-FR"/>
        </w:rPr>
        <w:t>Les décisions et avis sont pris à la majorité absolue des votes exprimés, les abstentions n'étant pas prises en compte.</w:t>
      </w:r>
    </w:p>
    <w:p w:rsidR="00BC0CB1" w:rsidRPr="001B5200" w:rsidRDefault="00BC0CB1" w:rsidP="00BC0CB1">
      <w:pPr>
        <w:autoSpaceDE w:val="0"/>
        <w:autoSpaceDN w:val="0"/>
        <w:adjustRightInd w:val="0"/>
        <w:spacing w:after="120" w:line="240" w:lineRule="auto"/>
        <w:contextualSpacing w:val="0"/>
        <w:rPr>
          <w:rFonts w:ascii="Bookman Old Style" w:hAnsi="Bookman Old Style" w:cs="CenturySchoolbook"/>
          <w:lang w:val="fr-BE" w:eastAsia="fr-FR"/>
        </w:rPr>
      </w:pPr>
      <w:r w:rsidRPr="001B3A23">
        <w:rPr>
          <w:rFonts w:ascii="Bookman Old Style" w:hAnsi="Bookman Old Style" w:cs="CenturySchoolbook-Bold"/>
          <w:b/>
          <w:bCs/>
          <w:lang w:val="fr-BE" w:eastAsia="fr-FR"/>
        </w:rPr>
        <w:t xml:space="preserve">Article 35. </w:t>
      </w:r>
      <w:r w:rsidRPr="001B3A23">
        <w:rPr>
          <w:rFonts w:ascii="Bookman Old Style" w:hAnsi="Bookman Old Style" w:cs="CenturySchoolbook"/>
          <w:lang w:val="fr-BE" w:eastAsia="fr-FR"/>
        </w:rPr>
        <w:t>- Les décisions et avis du Conseil de catégorie peuvent être consultés au secrétariat de la Haute Ecole, sauf s'il s'agit d'une décision ou d'un avis de portée individuelle.</w:t>
      </w:r>
    </w:p>
    <w:p w:rsidR="0024493D" w:rsidRPr="00BC0CB1" w:rsidRDefault="0024493D">
      <w:pPr>
        <w:rPr>
          <w:lang w:val="fr-BE"/>
        </w:rPr>
      </w:pPr>
      <w:bookmarkStart w:id="0" w:name="_GoBack"/>
      <w:bookmarkEnd w:id="0"/>
    </w:p>
    <w:sectPr w:rsidR="0024493D" w:rsidRPr="00BC0CB1" w:rsidSect="004F6A96">
      <w:footerReference w:type="default" r:id="rId4"/>
      <w:pgSz w:w="11906" w:h="16838"/>
      <w:pgMar w:top="993"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Schoolbook-Bold">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3B" w:rsidRDefault="00BC0CB1">
    <w:pPr>
      <w:pStyle w:val="Pieddepage"/>
      <w:jc w:val="right"/>
    </w:pPr>
  </w:p>
  <w:p w:rsidR="004B1E65" w:rsidRDefault="00BC0CB1" w:rsidP="000678E5">
    <w:pPr>
      <w:pStyle w:val="Pieddepage"/>
      <w:tabs>
        <w:tab w:val="clear" w:pos="4536"/>
        <w:tab w:val="left" w:pos="3402"/>
      </w:tabs>
      <w:ind w:left="-56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B1"/>
    <w:rsid w:val="0024493D"/>
    <w:rsid w:val="00BC0C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16EA4-FA58-435E-ADCD-5BD6D8CF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B1"/>
    <w:pPr>
      <w:spacing w:after="0" w:line="276" w:lineRule="auto"/>
      <w:contextualSpacing/>
    </w:pPr>
    <w:rPr>
      <w:rFonts w:ascii="Calibri" w:eastAsia="Calibri" w:hAnsi="Calibri" w:cs="Times New Roman"/>
      <w:lang w:val="fr-FR"/>
    </w:rPr>
  </w:style>
  <w:style w:type="paragraph" w:styleId="Titre1">
    <w:name w:val="heading 1"/>
    <w:basedOn w:val="Normal"/>
    <w:next w:val="Normal"/>
    <w:link w:val="Titre1Car"/>
    <w:uiPriority w:val="9"/>
    <w:qFormat/>
    <w:rsid w:val="00BC0CB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0CB1"/>
    <w:rPr>
      <w:rFonts w:asciiTheme="majorHAnsi" w:eastAsiaTheme="majorEastAsia" w:hAnsiTheme="majorHAnsi" w:cstheme="majorBidi"/>
      <w:color w:val="2E74B5" w:themeColor="accent1" w:themeShade="BF"/>
      <w:sz w:val="32"/>
      <w:szCs w:val="32"/>
      <w:lang w:val="fr-FR"/>
    </w:rPr>
  </w:style>
  <w:style w:type="paragraph" w:styleId="Pieddepage">
    <w:name w:val="footer"/>
    <w:basedOn w:val="Normal"/>
    <w:link w:val="PieddepageCar"/>
    <w:uiPriority w:val="99"/>
    <w:unhideWhenUsed/>
    <w:rsid w:val="00BC0CB1"/>
    <w:pPr>
      <w:tabs>
        <w:tab w:val="center" w:pos="4536"/>
        <w:tab w:val="right" w:pos="9072"/>
      </w:tabs>
      <w:spacing w:line="240" w:lineRule="auto"/>
    </w:pPr>
  </w:style>
  <w:style w:type="character" w:customStyle="1" w:styleId="PieddepageCar">
    <w:name w:val="Pied de page Car"/>
    <w:basedOn w:val="Policepardfaut"/>
    <w:link w:val="Pieddepage"/>
    <w:uiPriority w:val="99"/>
    <w:rsid w:val="00BC0CB1"/>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Pourbaix</dc:creator>
  <cp:keywords/>
  <dc:description/>
  <cp:lastModifiedBy>Celine Pourbaix</cp:lastModifiedBy>
  <cp:revision>1</cp:revision>
  <dcterms:created xsi:type="dcterms:W3CDTF">2016-12-08T11:22:00Z</dcterms:created>
  <dcterms:modified xsi:type="dcterms:W3CDTF">2016-12-08T11:23:00Z</dcterms:modified>
</cp:coreProperties>
</file>